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332</w:t>
      </w:r>
    </w:p>
    <w:p>
      <w:r>
        <w:t>Bundesgericht (BGE), 1993-07-29, DE</w:t>
      </w:r>
    </w:p>
    <w:p>
      <w:r>
        <w:rPr>
          <w:b/>
        </w:rPr>
        <w:t xml:space="preserve">Quelle: </w:t>
      </w:r>
      <w:r>
        <w:t>https://mcp.opencaselaw.ch/entscheid/bge_122 IV 332</w:t>
      </w:r>
    </w:p>
    <w:p>
      <w:r>
        <w:t>FR: ATF 122 IV 332</w:t>
      </w:r>
    </w:p>
    <w:p>
      <w:r>
        <w:t>IT: DTF 122 IV 332</w:t>
      </w:r>
    </w:p>
    <w:p>
      <w:pPr>
        <w:pStyle w:val="Heading2"/>
      </w:pPr>
      <w:r>
        <w:t>Regeste</w:t>
      </w:r>
    </w:p>
    <w:p>
      <w:r>
        <w:t>Regeste Art. 251 Ziff. 1 StGB; Falschbeurkundung. Das nachträgliche Ausstellen und Rückdatieren von Vollmachten stellt eine Falschbeurkundung dar, da nach der gesetzlichen Regelung über die Stellvertretung der schriftlichen Vollmachtsurkunde vom Adressaten ein besonderes Vertrauen entgegengebracht werden darf und diese somit in objektiver Weise die Wahrheit der Urkunde gewährleistet (E. 2c).</w:t>
      </w:r>
    </w:p>
    <w:p>
      <w:pPr>
        <w:pStyle w:val="Heading2"/>
      </w:pPr>
      <w:r>
        <w:t>Erwägungen</w:t>
      </w:r>
    </w:p>
    <w:p>
      <w:r>
        <w:rPr>
          <w:b/>
        </w:rPr>
        <w:t>E. 1</w:t>
      </w:r>
    </w:p>
    <w:p>
      <w:r>
        <w:t>a) Die Vorinstanz stellte für den Kassationshof verbindlich ( Art. 277bis Abs. 1 BStP ) fest, die Beschwerdegegnerin habe am 14. Dezember 1991 bei der Firma W. AG in Thun ein Collier zum Preis von Fr. 9'800.-- gegen eine Anzahlung von Fr. 500.-- sowie am 5. März 1992 beim Teppichgeschäft S. AG in Thun drei Orientteppiche im Wert von insgesamt Fr. 19'460.-- ertrogen. Den Verkäufern gegenüber habe sie angegeben, der Kauf erfolge im Auftrag und mit Wissen der Firma I. AG. In der Strafuntersuchung habe sie stets erklärt, der Verwaltungsratspräsident und Inhaber der Firma I. AG, A., habe ihr vorgängig eine entsprechende Ermächtigung zum Kauf gegeben und versprochen, er oder die Firma werde die Rechnungen bezahlen. Nachdem die Beschwerdegegnerin nach kurzer Zeit am 13. April 1992 aus der Untersuchungshaft entlassen worden sei, habe sie tags darauf dem Untersuchungsrichter je eine Kopie von zwei als Vollmacht bezeichneten, mit dem Briefkopf der Firma I. AG versehenen und mit A. unterzeichneten Schriftstücken zugesandt. In dem mit Datum vom 12. Dezember 1991 versehenen Schreiben habe A. bestätigt, dass die Beschwerdegegnerin die Befugnis habe, im Juweliergeschäft W. AG einen Einkauf im Wert von Fr. 10'000.-- im Namen der I. AG zu tätigen. Gemäss dem anderen Schreiben mit Datum vom 28. Februar 1992 habe A. der Beschwerdegegnerin die Vollmacht erteilt, im Namen der I. AG bei der Firma S. AG Teppiche im Wert bis zu Fr. 18'000.-- zu erwerben. Die Vorinstanz gelangte in bezug auf die Vollmachten zum Schluss, die beiden Schreiben seien von A. unterzeichnet, jedoch BGE 122 IV 332 S. 334 erst nach dem Erwerb der Teppiche und des Colliers im Hinblick auf das eingeleitete Strafverfahren verfasst und willkürlich rückdatiert worden. Der Beschwerdegegnerin sei klar gewesen, dass A. selber nicht über so viel Geld verfügt habe, dass er sich die Teppiche und das Schmuckstück hätte leisten können. A. wurde aufgrund dieses Sachverhalts vom Strafamtsgericht von Thun mit Urteil vom 29. Juli 1993 der Urkundenfälschung schuldig erklärt und zu 2 Monaten Gefängnis, abzüglich 1 Tag Untersuchungshaft, unter Gewährung des bedingten Strafvollzugs mit einer Probezeit von 2 Jahren, verurteilt. Die Vorinstanz nahm in rechtlicher Hinsicht an, inhaltlich wahrheitswidrig bei den beiden Vollmachten sei ausschliesslich das Ausstellungsdatum. A. sei zur grundsätzlich rechtswirksamen Erteilung solcher Vollmachten an die Beschwerdegegnerin im Namen der I. AG berechtigt gewesen und habe diese im zu beurteilenden Fall - wenn auch erst nachträglich - tatsächlich ausgestellt. Die beiden von der Beschwerdegegnerin dem Untersuchungsrichter eingereichten Urkunden seien sowohl geeignet als auch bestimmt gewesen, die rechtserhebliche Tatsache zu beweisen, dass die Vollmachten am 12. Dezember 1991 bzw. 28. Februar 1992, mithin vor dem Erwerb des Colliers bzw. der Teppiche, ausgestellt worden seien. Dieses Vorgehen sei zweifellos in der Absicht gewählt worden, bei den Behörden den falschen Anschein zu erwecken, dass die Beschwerdegegnerin jeweils bereits vor dem Tatzeitpunkt über eine (schriftliche) Vollmacht verfügt habe. Dennoch käme den beiden Schriftstücken keine Urkundenqualität zu, weil eine erhöhte Glaubwürdigkeit und Beweiskraft der beiden Dokumente nicht ersichtlich sei. Von der dazu geforderten, besonderen Stellung des Ausstellers könne bei einem Verwaltungsratspräsidenten einer kaum bekannten AG nicht die Rede sein. Ausserdem handle es sich um gewöhnliche Geschäftspapiere, welche nicht wie eine Bilanz von Gesetzes wegen erhöhten Anforderungen an die Richtigkeit genügen müssten. Unter diesen Umständen läge keine Falschbeurkundung vor. b) Der Beschwerdeführer macht geltend, es sei bisher unbestritten gewesen, dass einer Vollmacht - insbesondere auch unter dem Aspekt des Zeitpunktes ihrer Errichtung bzw. Unterzeichnung -Urkundenqualität zukomme. Eine Vollmacht geniesse in der Konstellation wie der vorliegenden schon deswegen erhöhten strafrechtlichen Schutz, weil eine AG buchführungspflichtig sei und weil das Handeln eines Dritten, das zum Beispiel per Spezialvollmacht eine AG durch Kaufverträge in den Schuldnerstatus versetze, Eingang in BGE 122 IV 332 S. 335 die Buchführung finde. Nach Art. 957 Abs. 1 OR solle die Buchführungspflicht unter anderem sicherstellen, dass die mit dem Geschäftsbetrieb zusammenhängenden Schuld- und Forderungsverhältnisse festgestellt werden könnten. Diese Funktion sei zweifellos beeinträchtigt, wenn mit den nachträglich erstellten und rückdatierten Vollmachten vorgegaukelt werde, die I. AG sei am 14. Dezember 1991 und am 5. März 1992 Schuldnerin geworden, was in Tat und Wahrheit nicht der Fall gewesen sei, weil die Beschwerdegegnerin die Verpflichtungen (betrügerisch) in eigenem Namen und auf eigene Rechnung eingegangen sei. Dass das Handeln eines Vertreters ohne Vollmacht nachträglich genehmigt werden könne, ändere nichts an der Urkundenqualität einer Vollmacht auch unter dem Aspekt des Zeitpunktes ihrer Erteilung, denn der Zeitpunkt der Entstehung einer Schuld sei nach buchhalterischen Grundsätzen als solcher relevant und es mache nach diesen Grundsätzen auch einen Unterschied, ob ein Vertreter im Zeitpunkt des Eingehens einer Schuldverpflichtung mit oder ohne Vertretungsvollmacht handle, selbst wenn nachträglich eine Genehmigung zustandekommen sollte. Wenn mit der Rückdatierung einer Vollmacht vorgetäuscht werde, sie habe im Zeitpunkt des rechtsgeschäftlichen Handelns eines Dritten bestanden, werde somit die Wahrheit der Buchführung tangiert.</w:t>
      </w:r>
    </w:p>
    <w:p>
      <w:r>
        <w:rPr>
          <w:b/>
        </w:rPr>
        <w:t>E. 2</w:t>
      </w:r>
    </w:p>
    <w:p>
      <w:r>
        <w:t>Aufl., Zürich 1993, N. 272; PIQUEREZ, Précis de procédure pénale suisse, 2. Aufl., Lausanne 1994, N. 1160). Somit kommt hier den Vollmachten aus den genannten Gründen erhöhte Glaubwürdigkeit zu. Ob eine verstärkte Beweiskraft auch unter dem Gesichtspunkt der Buchführungspflicht darin erblickt werden könnte, dass der Zeitpunkt der Entstehung einer Schuld nach buchhalterischen Grundsätzen relevant sei, wie der Beschwerdeführer vorbringt, kann bei diesem Ergebnis offenbleiben. Damit ergibt sich, dass die Vorinstanz, indem sie eine erhöhte Glaubwürdigkeit der Vollmachten verneinte und die Beschwerdegegnerin von der Anklage der Falschbeurkundung freisprach, Bundesrecht verletzt hat. Die Beschwerde ist daher 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